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5CB92" w14:textId="32D7F4A4" w:rsidR="00CE690A" w:rsidRPr="00F450FD" w:rsidRDefault="00CE690A" w:rsidP="00CE690A">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9D4408">
        <w:rPr>
          <w:rFonts w:ascii="Arial" w:hAnsi="Arial" w:cs="Arial"/>
          <w:b/>
          <w:sz w:val="24"/>
          <w:szCs w:val="28"/>
        </w:rPr>
        <w:t>115</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DE124E">
        <w:rPr>
          <w:rFonts w:ascii="Arial" w:hAnsi="Arial" w:cs="Arial"/>
          <w:b/>
          <w:sz w:val="24"/>
          <w:szCs w:val="28"/>
        </w:rPr>
        <w:t>6663</w:t>
      </w:r>
    </w:p>
    <w:p w14:paraId="1D9F85CB" w14:textId="2EA7A562" w:rsidR="00CE690A" w:rsidRPr="00F450FD" w:rsidRDefault="00387C85" w:rsidP="00CE690A">
      <w:pPr>
        <w:pStyle w:val="CRCoverPage"/>
        <w:outlineLvl w:val="0"/>
        <w:rPr>
          <w:b/>
          <w:noProof/>
          <w:sz w:val="24"/>
        </w:rPr>
      </w:pPr>
      <w:r>
        <w:rPr>
          <w:b/>
          <w:noProof/>
          <w:sz w:val="24"/>
        </w:rPr>
        <w:t>S</w:t>
      </w:r>
      <w:r w:rsidR="0063451E">
        <w:rPr>
          <w:b/>
          <w:noProof/>
          <w:sz w:val="24"/>
        </w:rPr>
        <w:t>t.</w:t>
      </w:r>
      <w:r>
        <w:rPr>
          <w:b/>
          <w:noProof/>
          <w:sz w:val="24"/>
        </w:rPr>
        <w:t>Juli</w:t>
      </w:r>
      <w:r w:rsidR="00897652">
        <w:rPr>
          <w:b/>
          <w:noProof/>
          <w:sz w:val="24"/>
        </w:rPr>
        <w:t>a</w:t>
      </w:r>
      <w:r>
        <w:rPr>
          <w:b/>
          <w:noProof/>
          <w:sz w:val="24"/>
        </w:rPr>
        <w:t>n’s</w:t>
      </w:r>
      <w:r w:rsidR="00CE690A" w:rsidRPr="00F450FD">
        <w:rPr>
          <w:b/>
          <w:noProof/>
          <w:sz w:val="24"/>
        </w:rPr>
        <w:t xml:space="preserve">, </w:t>
      </w:r>
      <w:r w:rsidR="009D4408">
        <w:rPr>
          <w:b/>
          <w:noProof/>
          <w:sz w:val="24"/>
        </w:rPr>
        <w:t>Malta</w:t>
      </w:r>
      <w:r w:rsidR="00CE690A" w:rsidRPr="00F450FD">
        <w:rPr>
          <w:b/>
          <w:noProof/>
          <w:sz w:val="24"/>
        </w:rPr>
        <w:t xml:space="preserve">, </w:t>
      </w:r>
      <w:r w:rsidR="00C00757">
        <w:rPr>
          <w:b/>
          <w:noProof/>
          <w:sz w:val="24"/>
        </w:rPr>
        <w:t>19</w:t>
      </w:r>
      <w:r w:rsidR="00C00757" w:rsidRPr="00C00757">
        <w:rPr>
          <w:b/>
          <w:noProof/>
          <w:sz w:val="24"/>
          <w:vertAlign w:val="superscript"/>
        </w:rPr>
        <w:t>th</w:t>
      </w:r>
      <w:r w:rsidR="00C00757">
        <w:rPr>
          <w:b/>
          <w:noProof/>
          <w:sz w:val="24"/>
        </w:rPr>
        <w:t xml:space="preserve"> </w:t>
      </w:r>
      <w:r w:rsidR="00CE690A" w:rsidRPr="00F450FD">
        <w:rPr>
          <w:b/>
          <w:noProof/>
          <w:sz w:val="24"/>
        </w:rPr>
        <w:t xml:space="preserve">– </w:t>
      </w:r>
      <w:r w:rsidR="00C00757">
        <w:rPr>
          <w:b/>
          <w:noProof/>
          <w:sz w:val="24"/>
        </w:rPr>
        <w:t>23</w:t>
      </w:r>
      <w:r w:rsidR="00C00757" w:rsidRPr="00C00757">
        <w:rPr>
          <w:b/>
          <w:noProof/>
          <w:sz w:val="24"/>
          <w:vertAlign w:val="superscript"/>
        </w:rPr>
        <w:t>rd</w:t>
      </w:r>
      <w:r w:rsidR="00C00757">
        <w:rPr>
          <w:b/>
          <w:noProof/>
          <w:sz w:val="24"/>
        </w:rPr>
        <w:t xml:space="preserve"> </w:t>
      </w:r>
      <w:r w:rsidR="00CE690A">
        <w:rPr>
          <w:b/>
          <w:noProof/>
          <w:sz w:val="24"/>
        </w:rPr>
        <w:t xml:space="preserve">, </w:t>
      </w:r>
      <w:r w:rsidR="00C00757">
        <w:rPr>
          <w:b/>
          <w:noProof/>
          <w:sz w:val="24"/>
        </w:rPr>
        <w:t xml:space="preserve">May </w:t>
      </w:r>
      <w:r w:rsidR="00CE690A">
        <w:rPr>
          <w:b/>
          <w:noProof/>
          <w:sz w:val="24"/>
        </w:rPr>
        <w:t xml:space="preserve">, </w:t>
      </w:r>
      <w:r w:rsidR="00CE690A" w:rsidRPr="00F450FD">
        <w:rPr>
          <w:b/>
          <w:noProof/>
          <w:sz w:val="24"/>
        </w:rPr>
        <w:t>202</w:t>
      </w:r>
      <w:r w:rsidR="00CE690A">
        <w:rPr>
          <w:b/>
          <w:noProof/>
          <w:sz w:val="24"/>
        </w:rPr>
        <w:t>5</w:t>
      </w:r>
    </w:p>
    <w:p w14:paraId="70DA6FF5" w14:textId="2F246723" w:rsidR="00563BD8" w:rsidRPr="007D5842"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917BC">
        <w:rPr>
          <w:rFonts w:ascii="Arial" w:hAnsi="Arial" w:cs="Arial"/>
          <w:sz w:val="22"/>
          <w:szCs w:val="22"/>
          <w:lang w:eastAsia="zh-CN"/>
        </w:rPr>
        <w:t>7</w:t>
      </w:r>
      <w:r w:rsidR="00675FCA" w:rsidRPr="007D5842">
        <w:rPr>
          <w:rFonts w:ascii="Arial" w:hAnsi="Arial" w:cs="Arial"/>
          <w:sz w:val="22"/>
          <w:szCs w:val="22"/>
          <w:lang w:eastAsia="zh-CN"/>
        </w:rPr>
        <w:t>.</w:t>
      </w:r>
      <w:r w:rsidR="00C00757">
        <w:rPr>
          <w:rFonts w:ascii="Arial" w:hAnsi="Arial" w:cs="Arial"/>
          <w:sz w:val="22"/>
          <w:szCs w:val="22"/>
          <w:lang w:eastAsia="zh-CN"/>
        </w:rPr>
        <w:t>18</w:t>
      </w:r>
      <w:r w:rsidRPr="007D5842">
        <w:rPr>
          <w:rFonts w:ascii="Arial" w:hAnsi="Arial" w:cs="Arial"/>
          <w:sz w:val="22"/>
          <w:szCs w:val="22"/>
          <w:lang w:eastAsia="zh-CN"/>
        </w:rPr>
        <w:t>.</w:t>
      </w:r>
      <w:r w:rsidR="00C00757">
        <w:rPr>
          <w:rFonts w:ascii="Arial" w:hAnsi="Arial" w:cs="Arial"/>
          <w:sz w:val="22"/>
          <w:szCs w:val="22"/>
          <w:lang w:eastAsia="zh-CN"/>
        </w:rPr>
        <w:t>4</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77777777"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Fast SCell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5EFDEFC5" w:rsidR="00FC12A2" w:rsidRPr="006C499F" w:rsidRDefault="00FC12A2" w:rsidP="00FC12A2">
      <w:pPr>
        <w:rPr>
          <w:sz w:val="22"/>
        </w:rPr>
      </w:pPr>
      <w:r>
        <w:rPr>
          <w:sz w:val="22"/>
          <w:lang w:val="en-CA"/>
        </w:rPr>
        <w:t xml:space="preserve">From RAN #103 meeting the WID for RRM enhancement phase 5 is listed in </w:t>
      </w:r>
      <w:r w:rsidRPr="0057045A">
        <w:rPr>
          <w:sz w:val="22"/>
          <w:lang w:val="en-CA"/>
        </w:rPr>
        <w:t>[1]</w:t>
      </w:r>
      <w:r>
        <w:rPr>
          <w:sz w:val="22"/>
          <w:lang w:val="en-CA"/>
        </w:rPr>
        <w:t>. The RAN4#</w:t>
      </w:r>
      <w:r w:rsidR="00F62874">
        <w:rPr>
          <w:sz w:val="22"/>
          <w:lang w:val="en-CA"/>
        </w:rPr>
        <w:t>114</w:t>
      </w:r>
      <w:r w:rsidR="00FB3C79">
        <w:rPr>
          <w:sz w:val="22"/>
          <w:lang w:val="en-CA"/>
        </w:rPr>
        <w:t xml:space="preserve"> bis</w:t>
      </w:r>
      <w:r w:rsidR="00F62874">
        <w:rPr>
          <w:sz w:val="22"/>
          <w:lang w:val="en-CA"/>
        </w:rPr>
        <w:t xml:space="preserve"> </w:t>
      </w:r>
      <w:r>
        <w:rPr>
          <w:sz w:val="22"/>
          <w:lang w:val="en-CA"/>
        </w:rPr>
        <w:t>WF is listed in [2]</w:t>
      </w:r>
      <w:r w:rsidR="00716A6A">
        <w:rPr>
          <w:sz w:val="22"/>
          <w:lang w:val="en-CA"/>
        </w:rPr>
        <w:t xml:space="preserve">. </w:t>
      </w:r>
      <w:r>
        <w:rPr>
          <w:sz w:val="22"/>
          <w:lang w:val="en-CA"/>
        </w:rPr>
        <w:t xml:space="preserve"> In this paper we provide our view for the remaining open issues.</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SCell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Study and, if feasible, to reduce the SCell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Apply fast scell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5536736C" w14:textId="5D7962D2" w:rsidR="00736E90" w:rsidRPr="009D4DE3" w:rsidRDefault="00E2481F" w:rsidP="009D4DE3">
      <w:pPr>
        <w:pStyle w:val="Heading1"/>
        <w:ind w:right="72"/>
        <w:rPr>
          <w:lang w:val="sv-SE"/>
        </w:rPr>
      </w:pPr>
      <w:r w:rsidRPr="002E3092">
        <w:rPr>
          <w:lang w:val="sv-SE"/>
        </w:rPr>
        <w:t>Discussion</w:t>
      </w:r>
    </w:p>
    <w:p w14:paraId="277C3905" w14:textId="45994C49" w:rsidR="00A21DFA" w:rsidRDefault="009A7F52" w:rsidP="00A21DFA">
      <w:pPr>
        <w:rPr>
          <w:lang w:eastAsia="zh-CN"/>
        </w:rPr>
      </w:pPr>
      <w:r>
        <w:rPr>
          <w:lang w:eastAsia="zh-CN"/>
        </w:rPr>
        <w:t xml:space="preserve">Based on the </w:t>
      </w:r>
      <w:r w:rsidR="00FB71FF">
        <w:rPr>
          <w:lang w:eastAsia="zh-CN"/>
        </w:rPr>
        <w:t>latest</w:t>
      </w:r>
      <w:r w:rsidR="00FB71FF">
        <w:rPr>
          <w:rFonts w:hint="eastAsia"/>
          <w:lang w:eastAsia="zh-CN"/>
        </w:rPr>
        <w:t xml:space="preserve"> agreement for the </w:t>
      </w:r>
      <w:r w:rsidR="001278BD">
        <w:rPr>
          <w:lang w:eastAsia="zh-CN"/>
        </w:rPr>
        <w:t xml:space="preserve">open </w:t>
      </w:r>
      <w:r>
        <w:rPr>
          <w:lang w:eastAsia="zh-CN"/>
        </w:rPr>
        <w:t>issues from RAN4 11</w:t>
      </w:r>
      <w:r w:rsidR="00594510">
        <w:rPr>
          <w:lang w:eastAsia="zh-CN"/>
        </w:rPr>
        <w:t>4</w:t>
      </w:r>
      <w:r>
        <w:rPr>
          <w:lang w:eastAsia="zh-CN"/>
        </w:rPr>
        <w:t xml:space="preserve"> </w:t>
      </w:r>
      <w:r w:rsidR="00A61B12">
        <w:rPr>
          <w:lang w:eastAsia="zh-CN"/>
        </w:rPr>
        <w:t xml:space="preserve">bis </w:t>
      </w:r>
      <w:r>
        <w:rPr>
          <w:lang w:eastAsia="zh-CN"/>
        </w:rPr>
        <w:t>meeting:</w:t>
      </w:r>
    </w:p>
    <w:tbl>
      <w:tblPr>
        <w:tblStyle w:val="TableGrid"/>
        <w:tblW w:w="0" w:type="auto"/>
        <w:tblLook w:val="04A0" w:firstRow="1" w:lastRow="0" w:firstColumn="1" w:lastColumn="0" w:noHBand="0" w:noVBand="1"/>
      </w:tblPr>
      <w:tblGrid>
        <w:gridCol w:w="10142"/>
      </w:tblGrid>
      <w:tr w:rsidR="00A61B12" w14:paraId="54FC3D7E" w14:textId="77777777" w:rsidTr="00A61B12">
        <w:tc>
          <w:tcPr>
            <w:tcW w:w="10142" w:type="dxa"/>
          </w:tcPr>
          <w:p w14:paraId="4C754ED2" w14:textId="77777777" w:rsidR="00A61B12" w:rsidRPr="00A61B12" w:rsidRDefault="00A61B12" w:rsidP="00A61B12">
            <w:pPr>
              <w:rPr>
                <w:u w:val="single"/>
                <w:lang w:eastAsia="zh-CN"/>
              </w:rPr>
            </w:pPr>
            <w:r w:rsidRPr="00A61B12">
              <w:rPr>
                <w:u w:val="single"/>
                <w:lang w:eastAsia="zh-CN"/>
              </w:rPr>
              <w:t>Issue 2-1-2: Update requirements of unknown PUCCH SCell activation based on EMR</w:t>
            </w:r>
          </w:p>
          <w:p w14:paraId="5C982CD1" w14:textId="4987363B" w:rsidR="00A61B12" w:rsidRPr="00C968A8" w:rsidRDefault="00C968A8" w:rsidP="00A21DFA">
            <w:pPr>
              <w:rPr>
                <w:bCs/>
                <w:iCs/>
                <w:lang w:val="en-SE" w:eastAsia="zh-CN"/>
              </w:rPr>
            </w:pPr>
            <w:r w:rsidRPr="00C968A8">
              <w:rPr>
                <w:bCs/>
                <w:iCs/>
                <w:lang w:val="en-SE" w:eastAsia="zh-CN"/>
              </w:rPr>
              <w:t>Directly treat the CR (R4-2503864) online. No agreement is needed.</w:t>
            </w:r>
          </w:p>
        </w:tc>
      </w:tr>
    </w:tbl>
    <w:p w14:paraId="03AEEC84" w14:textId="77777777" w:rsidR="00A61B12" w:rsidRDefault="00A61B12" w:rsidP="00A21DFA">
      <w:pPr>
        <w:rPr>
          <w:lang w:eastAsia="zh-CN"/>
        </w:rPr>
      </w:pPr>
    </w:p>
    <w:p w14:paraId="54E9FF0B" w14:textId="4B2F63FE" w:rsidR="00C968A8" w:rsidRDefault="00C968A8" w:rsidP="00A21DFA">
      <w:pPr>
        <w:rPr>
          <w:lang w:eastAsia="zh-CN"/>
        </w:rPr>
      </w:pPr>
      <w:r>
        <w:rPr>
          <w:lang w:eastAsia="zh-CN"/>
        </w:rPr>
        <w:t>The Rel-19 fast Scell activation requirement enhancement is based on the UE supporting Rel-18 EMR enhancement</w:t>
      </w:r>
      <w:r w:rsidR="00443AD5">
        <w:rPr>
          <w:lang w:eastAsia="zh-CN"/>
        </w:rPr>
        <w:t xml:space="preserve">. The scope including the PUCCH Scell activation based on </w:t>
      </w:r>
      <w:r w:rsidR="00D05424">
        <w:rPr>
          <w:lang w:eastAsia="zh-CN"/>
        </w:rPr>
        <w:t xml:space="preserve">UE supporting the Rel-18 </w:t>
      </w:r>
      <w:r w:rsidR="00443AD5">
        <w:rPr>
          <w:lang w:eastAsia="zh-CN"/>
        </w:rPr>
        <w:t xml:space="preserve">EMR. This can also be reflected based on the endorsed CR </w:t>
      </w:r>
      <w:r w:rsidR="00547EC5">
        <w:rPr>
          <w:lang w:eastAsia="zh-CN"/>
        </w:rPr>
        <w:t xml:space="preserve">R4-2502685. </w:t>
      </w:r>
    </w:p>
    <w:p w14:paraId="436FD7EB" w14:textId="7C344C4D" w:rsidR="00547EC5" w:rsidRDefault="00547EC5" w:rsidP="00A21DFA">
      <w:pPr>
        <w:rPr>
          <w:lang w:eastAsia="zh-CN"/>
        </w:rPr>
      </w:pPr>
      <w:r>
        <w:rPr>
          <w:lang w:eastAsia="zh-CN"/>
        </w:rPr>
        <w:t xml:space="preserve">One thing to notice is that for PUCCH Scell activation, the requirement </w:t>
      </w:r>
      <w:r w:rsidR="00FE3FDB">
        <w:rPr>
          <w:lang w:eastAsia="zh-CN"/>
        </w:rPr>
        <w:t xml:space="preserve">is being specified based on not only whether target cell is known to the UE or not but also </w:t>
      </w:r>
      <w:r w:rsidR="00726AD4">
        <w:rPr>
          <w:lang w:eastAsia="zh-CN"/>
        </w:rPr>
        <w:t>whether the PL-RS is known to the UE or not.</w:t>
      </w:r>
    </w:p>
    <w:p w14:paraId="6AA5B51D" w14:textId="0E036E6D" w:rsidR="00726AD4" w:rsidRDefault="00726AD4" w:rsidP="00A21DFA">
      <w:pPr>
        <w:rPr>
          <w:lang w:eastAsia="zh-CN"/>
        </w:rPr>
      </w:pPr>
      <w:r>
        <w:rPr>
          <w:lang w:eastAsia="zh-CN"/>
        </w:rPr>
        <w:t>The PL-RS can be the reference signal used for L3 measurement reporting or the L1-RSRP measurement reporting. The PL-RS can also be QCL-ed typed D with the RS used for L3 / L1-RSRP measurement reporting.</w:t>
      </w:r>
      <w:r w:rsidR="00602191">
        <w:rPr>
          <w:lang w:eastAsia="zh-CN"/>
        </w:rPr>
        <w:t xml:space="preserve"> This is specified as known condition for the PL-RS in clause 8.3.12.</w:t>
      </w:r>
    </w:p>
    <w:p w14:paraId="14767903" w14:textId="2A3F5AC6" w:rsidR="00726AD4" w:rsidRDefault="00726AD4" w:rsidP="00A21DFA">
      <w:pPr>
        <w:rPr>
          <w:lang w:eastAsia="zh-CN"/>
        </w:rPr>
      </w:pPr>
      <w:r>
        <w:rPr>
          <w:lang w:eastAsia="zh-CN"/>
        </w:rPr>
        <w:t xml:space="preserve">We think the </w:t>
      </w:r>
      <w:r w:rsidR="00486419">
        <w:rPr>
          <w:lang w:eastAsia="zh-CN"/>
        </w:rPr>
        <w:t xml:space="preserve">RS used for </w:t>
      </w:r>
      <w:r>
        <w:rPr>
          <w:lang w:eastAsia="zh-CN"/>
        </w:rPr>
        <w:t>Rel-18 EMR measurement reporting</w:t>
      </w:r>
      <w:r w:rsidR="00486419">
        <w:rPr>
          <w:lang w:eastAsia="zh-CN"/>
        </w:rPr>
        <w:t xml:space="preserve"> can serve for the same purpose to </w:t>
      </w:r>
      <w:r w:rsidR="00DD4035">
        <w:rPr>
          <w:lang w:eastAsia="zh-CN"/>
        </w:rPr>
        <w:t>provide the side condition for the PL-RS known for both known and unknown target cell. The detail wording can be seen from our CR R4</w:t>
      </w:r>
      <w:r w:rsidR="00D27EBE">
        <w:rPr>
          <w:lang w:eastAsia="zh-CN"/>
        </w:rPr>
        <w:t>-250</w:t>
      </w:r>
      <w:r w:rsidR="00DE124E">
        <w:rPr>
          <w:lang w:eastAsia="zh-CN"/>
        </w:rPr>
        <w:t>6665</w:t>
      </w:r>
      <w:r w:rsidR="00D27EBE">
        <w:rPr>
          <w:lang w:eastAsia="zh-CN"/>
        </w:rPr>
        <w:t xml:space="preserve"> for addressing this issue.</w:t>
      </w:r>
    </w:p>
    <w:p w14:paraId="507DF2B4" w14:textId="60337DC8" w:rsidR="00D27EBE" w:rsidRPr="00FB37DF" w:rsidRDefault="008D0133" w:rsidP="00FB37DF">
      <w:pPr>
        <w:pStyle w:val="ListParagraph"/>
        <w:numPr>
          <w:ilvl w:val="0"/>
          <w:numId w:val="11"/>
        </w:numPr>
        <w:rPr>
          <w:b/>
          <w:bCs/>
          <w:i/>
          <w:iCs/>
          <w:sz w:val="22"/>
          <w:lang w:val="en-GB"/>
        </w:rPr>
      </w:pPr>
      <w:bookmarkStart w:id="0" w:name="_Toc196395312"/>
      <w:r w:rsidRPr="00FB37DF">
        <w:rPr>
          <w:b/>
          <w:bCs/>
          <w:i/>
          <w:iCs/>
          <w:sz w:val="22"/>
          <w:u w:val="single"/>
          <w:lang w:val="en-GB"/>
        </w:rPr>
        <w:t xml:space="preserve">Proposal </w:t>
      </w:r>
      <w:r w:rsidRPr="00FB37DF">
        <w:rPr>
          <w:b/>
          <w:bCs/>
          <w:i/>
          <w:iCs/>
          <w:sz w:val="22"/>
          <w:u w:val="single"/>
          <w:lang w:val="en-GB"/>
        </w:rPr>
        <w:fldChar w:fldCharType="begin"/>
      </w:r>
      <w:r w:rsidRPr="00FB37DF">
        <w:rPr>
          <w:b/>
          <w:bCs/>
          <w:i/>
          <w:iCs/>
          <w:sz w:val="22"/>
          <w:u w:val="single"/>
          <w:lang w:val="en-GB"/>
        </w:rPr>
        <w:instrText xml:space="preserve"> SEQ Proposal \* ARABIC </w:instrText>
      </w:r>
      <w:r w:rsidRPr="00FB37DF">
        <w:rPr>
          <w:b/>
          <w:bCs/>
          <w:i/>
          <w:iCs/>
          <w:sz w:val="22"/>
          <w:u w:val="single"/>
          <w:lang w:val="en-GB"/>
        </w:rPr>
        <w:fldChar w:fldCharType="separate"/>
      </w:r>
      <w:r w:rsidRPr="00FB37DF">
        <w:rPr>
          <w:b/>
          <w:bCs/>
          <w:i/>
          <w:iCs/>
          <w:sz w:val="22"/>
          <w:u w:val="single"/>
          <w:lang w:val="en-GB"/>
        </w:rPr>
        <w:t>1</w:t>
      </w:r>
      <w:r w:rsidRPr="00FB37DF">
        <w:rPr>
          <w:b/>
          <w:bCs/>
          <w:i/>
          <w:iCs/>
          <w:sz w:val="22"/>
          <w:u w:val="single"/>
          <w:lang w:val="en-GB"/>
        </w:rPr>
        <w:fldChar w:fldCharType="end"/>
      </w:r>
      <w:r w:rsidRPr="00FB37DF">
        <w:rPr>
          <w:b/>
          <w:bCs/>
          <w:i/>
          <w:iCs/>
          <w:sz w:val="22"/>
          <w:u w:val="single"/>
          <w:lang w:val="en-GB"/>
        </w:rPr>
        <w:t xml:space="preserve">: </w:t>
      </w:r>
      <w:r w:rsidR="00FB37DF" w:rsidRPr="00FB37DF">
        <w:rPr>
          <w:b/>
          <w:bCs/>
          <w:i/>
          <w:iCs/>
          <w:sz w:val="22"/>
          <w:lang w:val="en-GB"/>
        </w:rPr>
        <w:t xml:space="preserve">For PUCCH Scell activation, the PL-RS known condition can be updated based on the RS used for Rel-18 </w:t>
      </w:r>
      <w:r w:rsidR="00FB3C79">
        <w:rPr>
          <w:b/>
          <w:bCs/>
          <w:i/>
          <w:iCs/>
          <w:sz w:val="22"/>
          <w:lang w:val="en-GB"/>
        </w:rPr>
        <w:t>e</w:t>
      </w:r>
      <w:r w:rsidR="00FB37DF" w:rsidRPr="00FB37DF">
        <w:rPr>
          <w:b/>
          <w:bCs/>
          <w:i/>
          <w:iCs/>
          <w:sz w:val="22"/>
          <w:lang w:val="en-GB"/>
        </w:rPr>
        <w:t>EMR reporting.</w:t>
      </w:r>
      <w:bookmarkEnd w:id="0"/>
      <w:r w:rsidR="00FB37DF" w:rsidRPr="00FB37DF">
        <w:rPr>
          <w:b/>
          <w:bCs/>
          <w:i/>
          <w:iCs/>
          <w:sz w:val="22"/>
          <w:lang w:val="en-GB"/>
        </w:rPr>
        <w:t xml:space="preserve"> </w:t>
      </w:r>
    </w:p>
    <w:p w14:paraId="3AB6FD09" w14:textId="77777777" w:rsidR="00DD4035" w:rsidRPr="00FB3C79" w:rsidRDefault="00DD4035" w:rsidP="00A21DFA">
      <w:pPr>
        <w:rPr>
          <w:lang w:val="en-GB" w:eastAsia="zh-CN"/>
        </w:rPr>
      </w:pP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449B0DC4" w14:textId="0B6BE5C2" w:rsidR="006C4FD6" w:rsidRPr="006C4FD6" w:rsidRDefault="006C4FD6" w:rsidP="00D14160">
            <w:pPr>
              <w:rPr>
                <w:sz w:val="16"/>
                <w:szCs w:val="16"/>
                <w:u w:val="single"/>
                <w:lang w:eastAsia="zh-CN"/>
              </w:rPr>
            </w:pPr>
            <w:r w:rsidRPr="006C4FD6">
              <w:rPr>
                <w:b/>
                <w:bCs/>
                <w:sz w:val="18"/>
                <w:szCs w:val="18"/>
                <w:u w:val="single"/>
                <w:lang w:eastAsia="zh-CN"/>
              </w:rPr>
              <w:t>Issue 1-2-4: UE capability</w:t>
            </w:r>
          </w:p>
          <w:p w14:paraId="33593466" w14:textId="74358778" w:rsidR="00D14160" w:rsidRPr="00D14160" w:rsidRDefault="00D14160" w:rsidP="00D14160">
            <w:pPr>
              <w:rPr>
                <w:sz w:val="18"/>
                <w:szCs w:val="18"/>
                <w:lang w:eastAsia="zh-CN"/>
              </w:rPr>
            </w:pPr>
            <w:r w:rsidRPr="00D14160">
              <w:rPr>
                <w:sz w:val="18"/>
                <w:szCs w:val="18"/>
                <w:lang w:eastAsia="zh-CN"/>
              </w:rPr>
              <w:t xml:space="preserve">Agreement: </w:t>
            </w:r>
          </w:p>
          <w:p w14:paraId="2A2AA180" w14:textId="003C0C38" w:rsidR="00586289" w:rsidRPr="00586289" w:rsidRDefault="00D14160" w:rsidP="00D14160">
            <w:pPr>
              <w:overflowPunct w:val="0"/>
              <w:autoSpaceDE w:val="0"/>
              <w:autoSpaceDN w:val="0"/>
              <w:adjustRightInd w:val="0"/>
              <w:spacing w:after="120"/>
              <w:rPr>
                <w:lang w:val="x-none" w:eastAsia="zh-CN"/>
              </w:rPr>
            </w:pPr>
            <w:r w:rsidRPr="00D14160">
              <w:rPr>
                <w:sz w:val="18"/>
                <w:szCs w:val="18"/>
                <w:lang w:eastAsia="zh-CN"/>
              </w:rPr>
              <w:t>•</w:t>
            </w:r>
            <w:r w:rsidRPr="00D14160">
              <w:rPr>
                <w:sz w:val="18"/>
                <w:szCs w:val="18"/>
                <w:lang w:eastAsia="zh-CN"/>
              </w:rPr>
              <w:tab/>
              <w:t>Discuss the UE capability by the end of core part.</w:t>
            </w:r>
          </w:p>
        </w:tc>
      </w:tr>
    </w:tbl>
    <w:p w14:paraId="036D2276" w14:textId="77777777" w:rsidR="00D14160" w:rsidRDefault="00D14160" w:rsidP="00A21DFA">
      <w:pPr>
        <w:rPr>
          <w:lang w:eastAsia="zh-CN"/>
        </w:rPr>
      </w:pPr>
    </w:p>
    <w:p w14:paraId="73F5435F" w14:textId="77777777" w:rsidR="00B72C62" w:rsidRDefault="00B72C62" w:rsidP="0046115E">
      <w:pPr>
        <w:rPr>
          <w:lang w:eastAsia="zh-CN"/>
        </w:rPr>
      </w:pPr>
      <w:r w:rsidRPr="00B72C62">
        <w:rPr>
          <w:lang w:eastAsia="zh-CN"/>
        </w:rPr>
        <w:t>The purpose of the Rel-19 RRM enhancement for expedited Scell activation, specifically for UEs supporting Rel-18 eEMR, is to reduce Scell activation delays by leveraging the advanced capabilities introduced in Rel-18.</w:t>
      </w:r>
    </w:p>
    <w:p w14:paraId="570B677E" w14:textId="5DFFAA73" w:rsidR="00851C79" w:rsidRDefault="00851C79" w:rsidP="0046115E">
      <w:pPr>
        <w:rPr>
          <w:lang w:eastAsia="zh-CN"/>
        </w:rPr>
      </w:pPr>
      <w:r w:rsidRPr="00851C79">
        <w:rPr>
          <w:lang w:eastAsia="zh-CN"/>
        </w:rPr>
        <w:t xml:space="preserve">The endorsed draft CR R4-2420132 </w:t>
      </w:r>
      <w:r w:rsidR="006C4C3D" w:rsidRPr="006C4C3D">
        <w:rPr>
          <w:lang w:eastAsia="zh-CN"/>
        </w:rPr>
        <w:t>has documented the scenarios agreed upon for specification to reduce delays. These scenarios are based on the UE capabilities defined in Rel-18 eEMR and Rel-16 EMR, which serve as the foundation for specifying the Scell activation requirements in Rel-19.</w:t>
      </w:r>
    </w:p>
    <w:tbl>
      <w:tblPr>
        <w:tblStyle w:val="TableGrid"/>
        <w:tblW w:w="0" w:type="auto"/>
        <w:tblLook w:val="04A0" w:firstRow="1" w:lastRow="0" w:firstColumn="1" w:lastColumn="0" w:noHBand="0" w:noVBand="1"/>
      </w:tblPr>
      <w:tblGrid>
        <w:gridCol w:w="10142"/>
      </w:tblGrid>
      <w:tr w:rsidR="003A0AE2" w14:paraId="26C1FEAE" w14:textId="77777777" w:rsidTr="003A0AE2">
        <w:tc>
          <w:tcPr>
            <w:tcW w:w="10142" w:type="dxa"/>
          </w:tcPr>
          <w:p w14:paraId="3C98C2EF" w14:textId="77777777" w:rsidR="003A0AE2" w:rsidRDefault="003A0AE2" w:rsidP="003A0AE2">
            <w:pPr>
              <w:pStyle w:val="ListParagraph"/>
              <w:numPr>
                <w:ilvl w:val="0"/>
                <w:numId w:val="42"/>
              </w:numPr>
              <w:rPr>
                <w:lang w:eastAsia="zh-CN"/>
              </w:rPr>
            </w:pPr>
            <w:r>
              <w:rPr>
                <w:lang w:eastAsia="zh-CN"/>
              </w:rPr>
              <w:lastRenderedPageBreak/>
              <w:t xml:space="preserve">UE supports measValidationReportEMR and measIdleValidityDuration-r18 is configured or,  </w:t>
            </w:r>
          </w:p>
          <w:p w14:paraId="4B7B1155" w14:textId="7F094FC1" w:rsidR="003A0AE2" w:rsidRDefault="003A0AE2" w:rsidP="003A0AE2">
            <w:pPr>
              <w:rPr>
                <w:lang w:eastAsia="zh-CN"/>
              </w:rPr>
            </w:pPr>
            <w:r>
              <w:rPr>
                <w:lang w:eastAsia="zh-CN"/>
              </w:rPr>
              <w:t>-</w:t>
            </w:r>
            <w:r>
              <w:rPr>
                <w:lang w:eastAsia="zh-CN"/>
              </w:rPr>
              <w:tab/>
            </w:r>
            <w:r w:rsidR="00282DA3">
              <w:rPr>
                <w:lang w:eastAsia="zh-CN"/>
              </w:rPr>
              <w:t xml:space="preserve"> </w:t>
            </w:r>
            <w:r>
              <w:rPr>
                <w:lang w:eastAsia="zh-CN"/>
              </w:rPr>
              <w:t xml:space="preserve">UE supports measValidationReportReselectionMeasurements and measReselectionValidityDuration-r18 is configured or, </w:t>
            </w:r>
          </w:p>
          <w:p w14:paraId="1FEB73B1" w14:textId="2345A3D0" w:rsidR="003A0AE2" w:rsidRDefault="003A0AE2" w:rsidP="0046115E">
            <w:pPr>
              <w:rPr>
                <w:lang w:eastAsia="zh-CN"/>
              </w:rPr>
            </w:pPr>
            <w:r>
              <w:rPr>
                <w:lang w:eastAsia="zh-CN"/>
              </w:rPr>
              <w:t>-</w:t>
            </w:r>
            <w:r>
              <w:rPr>
                <w:lang w:eastAsia="zh-CN"/>
              </w:rPr>
              <w:tab/>
            </w:r>
            <w:r w:rsidR="00282DA3">
              <w:rPr>
                <w:lang w:eastAsia="zh-CN"/>
              </w:rPr>
              <w:t xml:space="preserve"> </w:t>
            </w:r>
            <w:r>
              <w:rPr>
                <w:lang w:eastAsia="zh-CN"/>
              </w:rPr>
              <w:t>UE supports idleInactiveNR-MeasReport-r16, and neither measIdleValidityDuration-r18 nor measReselectionValidityDuration-r18 is configured and measIdleDuration-r16 hasn’t expired at the moment of initiation of RRC state transition to Connected mode,</w:t>
            </w:r>
          </w:p>
        </w:tc>
      </w:tr>
    </w:tbl>
    <w:p w14:paraId="50880ED9" w14:textId="77777777" w:rsidR="00115AF8" w:rsidRPr="00115AF8" w:rsidRDefault="00115AF8" w:rsidP="00115AF8">
      <w:pPr>
        <w:spacing w:before="100" w:beforeAutospacing="1" w:after="100" w:afterAutospacing="1"/>
        <w:rPr>
          <w:lang w:eastAsia="zh-CN"/>
        </w:rPr>
      </w:pPr>
      <w:r w:rsidRPr="00115AF8">
        <w:rPr>
          <w:lang w:eastAsia="zh-CN"/>
        </w:rPr>
        <w:t>The first bullet refers to the Rel-18 UE capability for measurement reporting based on the eEMR configuration. The second bullet highlights the Rel-18 UE capability for supporting cell reselection measurement reporting. The third bullet pertains to the Rel-16 UE capability for measurement reporting based on the EMR measurement configuration.</w:t>
      </w:r>
    </w:p>
    <w:p w14:paraId="0EAE8994" w14:textId="77777777" w:rsidR="00115AF8" w:rsidRPr="00115AF8" w:rsidRDefault="00115AF8" w:rsidP="00115AF8">
      <w:pPr>
        <w:spacing w:before="100" w:beforeAutospacing="1" w:after="100" w:afterAutospacing="1"/>
        <w:rPr>
          <w:lang w:eastAsia="zh-CN"/>
        </w:rPr>
      </w:pPr>
      <w:r w:rsidRPr="00115AF8">
        <w:rPr>
          <w:lang w:eastAsia="zh-CN"/>
        </w:rPr>
        <w:t>The scenarios and requirement applicability for the Rel-19 enhancements are well-defined and straightforward. Therefore, we do not see any need to introduce new capabilities that could unnecessarily complicate the requirement specification.</w:t>
      </w:r>
    </w:p>
    <w:p w14:paraId="3415572A" w14:textId="1A02B4C9" w:rsidR="00D82CAA" w:rsidRPr="00D82CAA" w:rsidRDefault="001F25AE" w:rsidP="00D82CAA">
      <w:pPr>
        <w:pStyle w:val="ListParagraph"/>
        <w:numPr>
          <w:ilvl w:val="0"/>
          <w:numId w:val="11"/>
        </w:numPr>
        <w:rPr>
          <w:rFonts w:eastAsiaTheme="minorHAnsi"/>
          <w:i/>
          <w:iCs/>
          <w:sz w:val="22"/>
          <w:szCs w:val="22"/>
          <w:lang w:val="en-GB" w:eastAsia="zh-CN"/>
        </w:rPr>
      </w:pPr>
      <w:bookmarkStart w:id="1" w:name="_Toc196395313"/>
      <w:r w:rsidRPr="00D82CAA">
        <w:rPr>
          <w:b/>
          <w:bCs/>
          <w:i/>
          <w:iCs/>
          <w:sz w:val="22"/>
          <w:u w:val="single"/>
          <w:lang w:val="en-GB"/>
        </w:rPr>
        <w:t xml:space="preserve">Proposal </w:t>
      </w:r>
      <w:r w:rsidRPr="00D82CAA">
        <w:rPr>
          <w:b/>
          <w:bCs/>
          <w:i/>
          <w:iCs/>
          <w:sz w:val="22"/>
          <w:u w:val="single"/>
          <w:lang w:val="en-GB"/>
        </w:rPr>
        <w:fldChar w:fldCharType="begin"/>
      </w:r>
      <w:r w:rsidRPr="00D82CAA">
        <w:rPr>
          <w:b/>
          <w:bCs/>
          <w:i/>
          <w:iCs/>
          <w:sz w:val="22"/>
          <w:u w:val="single"/>
          <w:lang w:val="en-GB"/>
        </w:rPr>
        <w:instrText xml:space="preserve"> SEQ Proposal \* ARABIC </w:instrText>
      </w:r>
      <w:r w:rsidRPr="00D82CAA">
        <w:rPr>
          <w:b/>
          <w:bCs/>
          <w:i/>
          <w:iCs/>
          <w:sz w:val="22"/>
          <w:u w:val="single"/>
          <w:lang w:val="en-GB"/>
        </w:rPr>
        <w:fldChar w:fldCharType="separate"/>
      </w:r>
      <w:r w:rsidR="008D0133">
        <w:rPr>
          <w:b/>
          <w:bCs/>
          <w:i/>
          <w:iCs/>
          <w:noProof/>
          <w:sz w:val="22"/>
          <w:u w:val="single"/>
          <w:lang w:val="en-GB"/>
        </w:rPr>
        <w:t>2</w:t>
      </w:r>
      <w:r w:rsidRPr="00D82CAA">
        <w:rPr>
          <w:b/>
          <w:bCs/>
          <w:i/>
          <w:iCs/>
          <w:sz w:val="22"/>
          <w:u w:val="single"/>
          <w:lang w:val="en-GB"/>
        </w:rPr>
        <w:fldChar w:fldCharType="end"/>
      </w:r>
      <w:r w:rsidRPr="00D82CAA">
        <w:rPr>
          <w:b/>
          <w:bCs/>
          <w:i/>
          <w:iCs/>
          <w:sz w:val="22"/>
          <w:u w:val="single"/>
          <w:lang w:val="en-GB"/>
        </w:rPr>
        <w:t>:</w:t>
      </w:r>
      <w:r w:rsidR="00D82CAA">
        <w:rPr>
          <w:b/>
          <w:bCs/>
          <w:i/>
          <w:iCs/>
          <w:sz w:val="22"/>
          <w:lang w:val="en-GB"/>
        </w:rPr>
        <w:t xml:space="preserve"> </w:t>
      </w:r>
      <w:r w:rsidR="00D82CAA" w:rsidRPr="0030539C">
        <w:rPr>
          <w:rFonts w:eastAsiaTheme="minorHAnsi"/>
          <w:b/>
          <w:bCs/>
          <w:i/>
          <w:iCs/>
          <w:sz w:val="22"/>
          <w:szCs w:val="22"/>
          <w:lang w:val="en-GB" w:eastAsia="zh-CN"/>
        </w:rPr>
        <w:t xml:space="preserve">RAN4 </w:t>
      </w:r>
      <w:r w:rsidR="00EA6F1A" w:rsidRPr="0030539C">
        <w:rPr>
          <w:rFonts w:eastAsiaTheme="minorHAnsi"/>
          <w:b/>
          <w:bCs/>
          <w:i/>
          <w:iCs/>
          <w:sz w:val="22"/>
          <w:szCs w:val="22"/>
          <w:lang w:val="en-GB" w:eastAsia="zh-CN"/>
        </w:rPr>
        <w:t>shall</w:t>
      </w:r>
      <w:r w:rsidR="00D82CAA" w:rsidRPr="0030539C">
        <w:rPr>
          <w:rFonts w:eastAsiaTheme="minorHAnsi"/>
          <w:b/>
          <w:bCs/>
          <w:i/>
          <w:iCs/>
          <w:sz w:val="22"/>
          <w:szCs w:val="22"/>
          <w:lang w:val="en-GB" w:eastAsia="zh-CN"/>
        </w:rPr>
        <w:t xml:space="preserve"> </w:t>
      </w:r>
      <w:r w:rsidR="00CD159D" w:rsidRPr="0030539C">
        <w:rPr>
          <w:rFonts w:eastAsiaTheme="minorHAnsi"/>
          <w:b/>
          <w:bCs/>
          <w:i/>
          <w:iCs/>
          <w:sz w:val="22"/>
          <w:szCs w:val="22"/>
          <w:lang w:val="en-GB" w:eastAsia="zh-CN"/>
        </w:rPr>
        <w:t>refrain from</w:t>
      </w:r>
      <w:r w:rsidR="00282DA3" w:rsidRPr="0030539C">
        <w:rPr>
          <w:rFonts w:eastAsiaTheme="minorHAnsi"/>
          <w:b/>
          <w:bCs/>
          <w:i/>
          <w:iCs/>
          <w:sz w:val="22"/>
          <w:szCs w:val="22"/>
          <w:lang w:val="en-GB" w:eastAsia="zh-CN"/>
        </w:rPr>
        <w:t xml:space="preserve"> introduc</w:t>
      </w:r>
      <w:r w:rsidR="00CD159D" w:rsidRPr="0030539C">
        <w:rPr>
          <w:rFonts w:eastAsiaTheme="minorHAnsi"/>
          <w:b/>
          <w:bCs/>
          <w:i/>
          <w:iCs/>
          <w:sz w:val="22"/>
          <w:szCs w:val="22"/>
          <w:lang w:val="en-GB" w:eastAsia="zh-CN"/>
        </w:rPr>
        <w:t>ing</w:t>
      </w:r>
      <w:r w:rsidR="00282DA3" w:rsidRPr="0030539C">
        <w:rPr>
          <w:rFonts w:eastAsiaTheme="minorHAnsi"/>
          <w:b/>
          <w:bCs/>
          <w:i/>
          <w:iCs/>
          <w:sz w:val="22"/>
          <w:szCs w:val="22"/>
          <w:lang w:val="en-GB" w:eastAsia="zh-CN"/>
        </w:rPr>
        <w:t xml:space="preserve"> any new UE capability for Rel-19 fast scell activation </w:t>
      </w:r>
      <w:r w:rsidR="00A46843" w:rsidRPr="0030539C">
        <w:rPr>
          <w:rFonts w:eastAsiaTheme="minorHAnsi"/>
          <w:b/>
          <w:bCs/>
          <w:i/>
          <w:iCs/>
          <w:sz w:val="22"/>
          <w:szCs w:val="22"/>
          <w:lang w:val="en-GB" w:eastAsia="zh-CN"/>
        </w:rPr>
        <w:t>for UE supporting Rel-18 eEMR.</w:t>
      </w:r>
      <w:bookmarkEnd w:id="1"/>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5BBC658F" w14:textId="51BAB5B8" w:rsidR="00FB37DF" w:rsidRDefault="00FE398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96395312" w:history="1">
        <w:r w:rsidR="00FB37DF" w:rsidRPr="00201942">
          <w:rPr>
            <w:rStyle w:val="Hyperlink"/>
            <w:rFonts w:ascii="Symbol" w:hAnsi="Symbol"/>
            <w:bCs/>
            <w:iCs/>
            <w:noProof/>
            <w:lang w:val="en-GB"/>
          </w:rPr>
          <w:t></w:t>
        </w:r>
        <w:r w:rsidR="00FB37DF">
          <w:rPr>
            <w:rFonts w:asciiTheme="minorHAnsi" w:eastAsiaTheme="minorEastAsia" w:hAnsiTheme="minorHAnsi" w:cstheme="minorBidi"/>
            <w:noProof/>
            <w:kern w:val="2"/>
            <w:sz w:val="24"/>
            <w:szCs w:val="24"/>
            <w:lang w:val="en-SE" w:eastAsia="zh-CN"/>
            <w14:ligatures w14:val="standardContextual"/>
          </w:rPr>
          <w:tab/>
        </w:r>
        <w:r w:rsidR="00FB37DF" w:rsidRPr="00201942">
          <w:rPr>
            <w:rStyle w:val="Hyperlink"/>
            <w:b/>
            <w:bCs/>
            <w:i/>
            <w:iCs/>
            <w:noProof/>
            <w:lang w:val="en-GB"/>
          </w:rPr>
          <w:t>Proposal 1: For PUCCH Scell activation, the PL-RS known condition can be updated based on the RS used for Rel-18 EMR reporting.</w:t>
        </w:r>
      </w:hyperlink>
    </w:p>
    <w:p w14:paraId="6590FF74" w14:textId="0AD4992F" w:rsidR="00FB37DF"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6395313" w:history="1">
        <w:r w:rsidR="00FB37DF" w:rsidRPr="00201942">
          <w:rPr>
            <w:rStyle w:val="Hyperlink"/>
            <w:rFonts w:ascii="Symbol" w:eastAsiaTheme="minorHAnsi" w:hAnsi="Symbol"/>
            <w:iCs/>
            <w:noProof/>
            <w:lang w:val="en-GB" w:eastAsia="zh-CN"/>
          </w:rPr>
          <w:t></w:t>
        </w:r>
        <w:r w:rsidR="00FB37DF">
          <w:rPr>
            <w:rFonts w:asciiTheme="minorHAnsi" w:eastAsiaTheme="minorEastAsia" w:hAnsiTheme="minorHAnsi" w:cstheme="minorBidi"/>
            <w:noProof/>
            <w:kern w:val="2"/>
            <w:sz w:val="24"/>
            <w:szCs w:val="24"/>
            <w:lang w:val="en-SE" w:eastAsia="zh-CN"/>
            <w14:ligatures w14:val="standardContextual"/>
          </w:rPr>
          <w:tab/>
        </w:r>
        <w:r w:rsidR="00FB37DF" w:rsidRPr="00201942">
          <w:rPr>
            <w:rStyle w:val="Hyperlink"/>
            <w:b/>
            <w:bCs/>
            <w:i/>
            <w:iCs/>
            <w:noProof/>
            <w:lang w:val="en-GB"/>
          </w:rPr>
          <w:t xml:space="preserve">Proposal 2: </w:t>
        </w:r>
        <w:r w:rsidR="00FB37DF" w:rsidRPr="00201942">
          <w:rPr>
            <w:rStyle w:val="Hyperlink"/>
            <w:rFonts w:eastAsiaTheme="minorHAnsi"/>
            <w:b/>
            <w:bCs/>
            <w:i/>
            <w:iCs/>
            <w:noProof/>
            <w:lang w:val="en-GB" w:eastAsia="zh-CN"/>
          </w:rPr>
          <w:t>RAN4 shall refrain from introducing any new UE capability for Rel-19 fast scell activation for UE supporting Rel-18 eEMR.</w:t>
        </w:r>
      </w:hyperlink>
    </w:p>
    <w:p w14:paraId="0D347B21" w14:textId="06A5038C"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6FF9E0D7"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R4-</w:t>
      </w:r>
      <w:r w:rsidR="00594510">
        <w:rPr>
          <w:rFonts w:ascii="Arial" w:hAnsi="Arial" w:cs="Arial"/>
          <w:sz w:val="22"/>
          <w:szCs w:val="22"/>
          <w:lang w:val="en-CA"/>
        </w:rPr>
        <w:t>250</w:t>
      </w:r>
      <w:r w:rsidR="00FB3C79">
        <w:rPr>
          <w:rFonts w:ascii="Arial" w:hAnsi="Arial" w:cs="Arial"/>
          <w:sz w:val="22"/>
          <w:szCs w:val="22"/>
          <w:lang w:val="en-CA"/>
        </w:rPr>
        <w:t>4900</w:t>
      </w:r>
      <w:r w:rsidR="00594510">
        <w:rPr>
          <w:rFonts w:ascii="Arial" w:hAnsi="Arial" w:cs="Arial"/>
          <w:sz w:val="22"/>
          <w:szCs w:val="22"/>
          <w:lang w:val="en-CA"/>
        </w:rPr>
        <w:t xml:space="preserve">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w:t>
      </w:r>
      <w:r w:rsidR="00FB3C79">
        <w:rPr>
          <w:rFonts w:ascii="Arial" w:hAnsi="Arial" w:cs="Arial"/>
          <w:sz w:val="22"/>
          <w:szCs w:val="22"/>
          <w:lang w:val="en-CA"/>
        </w:rPr>
        <w:t>April,</w:t>
      </w:r>
      <w:r w:rsidR="00594510">
        <w:rPr>
          <w:rFonts w:ascii="Arial" w:hAnsi="Arial" w:cs="Arial"/>
          <w:sz w:val="22"/>
          <w:szCs w:val="22"/>
          <w:lang w:val="en-CA"/>
        </w:rPr>
        <w:t xml:space="preserve"> </w:t>
      </w:r>
      <w:r>
        <w:rPr>
          <w:rFonts w:ascii="Arial" w:hAnsi="Arial" w:cs="Arial"/>
          <w:sz w:val="22"/>
          <w:szCs w:val="22"/>
          <w:lang w:val="en-CA"/>
        </w:rPr>
        <w:t>202</w:t>
      </w:r>
      <w:r w:rsidR="00594510">
        <w:rPr>
          <w:rFonts w:ascii="Arial" w:hAnsi="Arial" w:cs="Arial"/>
          <w:sz w:val="22"/>
          <w:szCs w:val="22"/>
          <w:lang w:val="en-CA"/>
        </w:rPr>
        <w:t>5</w:t>
      </w:r>
    </w:p>
    <w:sectPr w:rsidR="00A16D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F08EC" w14:textId="77777777" w:rsidR="006B6DA3" w:rsidRDefault="006B6DA3">
      <w:r>
        <w:separator/>
      </w:r>
    </w:p>
  </w:endnote>
  <w:endnote w:type="continuationSeparator" w:id="0">
    <w:p w14:paraId="39D0501B" w14:textId="77777777" w:rsidR="006B6DA3" w:rsidRDefault="006B6DA3">
      <w:r>
        <w:continuationSeparator/>
      </w:r>
    </w:p>
  </w:endnote>
  <w:endnote w:type="continuationNotice" w:id="1">
    <w:p w14:paraId="51EE5296" w14:textId="77777777" w:rsidR="006B6DA3" w:rsidRDefault="006B6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872F" w14:textId="77777777" w:rsidR="006B6DA3" w:rsidRDefault="006B6DA3">
      <w:r>
        <w:separator/>
      </w:r>
    </w:p>
  </w:footnote>
  <w:footnote w:type="continuationSeparator" w:id="0">
    <w:p w14:paraId="0D8C2FFE" w14:textId="77777777" w:rsidR="006B6DA3" w:rsidRDefault="006B6DA3">
      <w:r>
        <w:continuationSeparator/>
      </w:r>
    </w:p>
  </w:footnote>
  <w:footnote w:type="continuationNotice" w:id="1">
    <w:p w14:paraId="39D743D6" w14:textId="77777777" w:rsidR="006B6DA3" w:rsidRDefault="006B6D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CEE"/>
    <w:multiLevelType w:val="hybridMultilevel"/>
    <w:tmpl w:val="9E9A0E70"/>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A43CD"/>
    <w:multiLevelType w:val="hybridMultilevel"/>
    <w:tmpl w:val="8292A0E2"/>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9"/>
  </w:num>
  <w:num w:numId="2" w16cid:durableId="1943106378">
    <w:abstractNumId w:val="36"/>
  </w:num>
  <w:num w:numId="3" w16cid:durableId="11735331">
    <w:abstractNumId w:val="32"/>
  </w:num>
  <w:num w:numId="4" w16cid:durableId="1102259893">
    <w:abstractNumId w:val="18"/>
  </w:num>
  <w:num w:numId="5" w16cid:durableId="530342860">
    <w:abstractNumId w:val="19"/>
  </w:num>
  <w:num w:numId="6" w16cid:durableId="2130512404">
    <w:abstractNumId w:val="1"/>
  </w:num>
  <w:num w:numId="7" w16cid:durableId="272589911">
    <w:abstractNumId w:val="0"/>
  </w:num>
  <w:num w:numId="8" w16cid:durableId="1396777579">
    <w:abstractNumId w:val="40"/>
  </w:num>
  <w:num w:numId="9" w16cid:durableId="1238323227">
    <w:abstractNumId w:val="7"/>
  </w:num>
  <w:num w:numId="10" w16cid:durableId="1688098728">
    <w:abstractNumId w:val="11"/>
  </w:num>
  <w:num w:numId="11" w16cid:durableId="529805917">
    <w:abstractNumId w:val="26"/>
  </w:num>
  <w:num w:numId="12" w16cid:durableId="1406415193">
    <w:abstractNumId w:val="4"/>
  </w:num>
  <w:num w:numId="13" w16cid:durableId="268706987">
    <w:abstractNumId w:val="22"/>
  </w:num>
  <w:num w:numId="14" w16cid:durableId="1122458782">
    <w:abstractNumId w:val="37"/>
  </w:num>
  <w:num w:numId="15" w16cid:durableId="1824733380">
    <w:abstractNumId w:val="31"/>
  </w:num>
  <w:num w:numId="16" w16cid:durableId="1942178916">
    <w:abstractNumId w:val="35"/>
  </w:num>
  <w:num w:numId="17" w16cid:durableId="1922837493">
    <w:abstractNumId w:val="17"/>
  </w:num>
  <w:num w:numId="18" w16cid:durableId="204951623">
    <w:abstractNumId w:val="33"/>
  </w:num>
  <w:num w:numId="19" w16cid:durableId="188375521">
    <w:abstractNumId w:val="12"/>
  </w:num>
  <w:num w:numId="20" w16cid:durableId="205989064">
    <w:abstractNumId w:val="38"/>
  </w:num>
  <w:num w:numId="21" w16cid:durableId="2105614444">
    <w:abstractNumId w:val="27"/>
  </w:num>
  <w:num w:numId="22" w16cid:durableId="1950891193">
    <w:abstractNumId w:val="20"/>
  </w:num>
  <w:num w:numId="23" w16cid:durableId="542668715">
    <w:abstractNumId w:val="14"/>
  </w:num>
  <w:num w:numId="24" w16cid:durableId="1708408653">
    <w:abstractNumId w:val="9"/>
  </w:num>
  <w:num w:numId="25" w16cid:durableId="1015959200">
    <w:abstractNumId w:val="30"/>
  </w:num>
  <w:num w:numId="26" w16cid:durableId="646131041">
    <w:abstractNumId w:val="2"/>
  </w:num>
  <w:num w:numId="27" w16cid:durableId="1379551797">
    <w:abstractNumId w:val="10"/>
  </w:num>
  <w:num w:numId="28" w16cid:durableId="1891459548">
    <w:abstractNumId w:val="39"/>
  </w:num>
  <w:num w:numId="29" w16cid:durableId="275336271">
    <w:abstractNumId w:val="16"/>
  </w:num>
  <w:num w:numId="30" w16cid:durableId="1521158996">
    <w:abstractNumId w:val="21"/>
  </w:num>
  <w:num w:numId="31" w16cid:durableId="130758703">
    <w:abstractNumId w:val="8"/>
  </w:num>
  <w:num w:numId="32" w16cid:durableId="203102583">
    <w:abstractNumId w:val="28"/>
  </w:num>
  <w:num w:numId="33" w16cid:durableId="152381657">
    <w:abstractNumId w:val="26"/>
  </w:num>
  <w:num w:numId="34" w16cid:durableId="761729959">
    <w:abstractNumId w:val="13"/>
  </w:num>
  <w:num w:numId="35" w16cid:durableId="746807434">
    <w:abstractNumId w:val="25"/>
  </w:num>
  <w:num w:numId="36" w16cid:durableId="553199552">
    <w:abstractNumId w:val="6"/>
  </w:num>
  <w:num w:numId="37" w16cid:durableId="523204459">
    <w:abstractNumId w:val="3"/>
  </w:num>
  <w:num w:numId="38" w16cid:durableId="1600530226">
    <w:abstractNumId w:val="34"/>
  </w:num>
  <w:num w:numId="39" w16cid:durableId="2066372495">
    <w:abstractNumId w:val="24"/>
  </w:num>
  <w:num w:numId="40" w16cid:durableId="2132630906">
    <w:abstractNumId w:val="23"/>
  </w:num>
  <w:num w:numId="41" w16cid:durableId="1571619954">
    <w:abstractNumId w:val="15"/>
  </w:num>
  <w:num w:numId="42" w16cid:durableId="52574937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DB9"/>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0B7"/>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3C16"/>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5AF8"/>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8BD"/>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17BC"/>
    <w:rsid w:val="001920BE"/>
    <w:rsid w:val="0019238D"/>
    <w:rsid w:val="001923B7"/>
    <w:rsid w:val="00192815"/>
    <w:rsid w:val="00192905"/>
    <w:rsid w:val="00192AAB"/>
    <w:rsid w:val="00192C40"/>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4DE"/>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DA3"/>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0C5"/>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AE6"/>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CE8"/>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39C"/>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85"/>
    <w:rsid w:val="00387CB7"/>
    <w:rsid w:val="00387F14"/>
    <w:rsid w:val="0039011F"/>
    <w:rsid w:val="003902B5"/>
    <w:rsid w:val="0039030E"/>
    <w:rsid w:val="00390554"/>
    <w:rsid w:val="00390605"/>
    <w:rsid w:val="003906D3"/>
    <w:rsid w:val="00390863"/>
    <w:rsid w:val="00390D3C"/>
    <w:rsid w:val="00391036"/>
    <w:rsid w:val="00391B02"/>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AE2"/>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8FF"/>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4C59"/>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414"/>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377"/>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AD5"/>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15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419"/>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97D"/>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360"/>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C5"/>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5A7"/>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510"/>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0FF2"/>
    <w:rsid w:val="005E106C"/>
    <w:rsid w:val="005E137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481"/>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91"/>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1E"/>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DA3"/>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99F"/>
    <w:rsid w:val="006C4C3D"/>
    <w:rsid w:val="006C4DFA"/>
    <w:rsid w:val="006C4E31"/>
    <w:rsid w:val="006C4FD6"/>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95"/>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C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9F"/>
    <w:rsid w:val="0071571B"/>
    <w:rsid w:val="007163CC"/>
    <w:rsid w:val="00716773"/>
    <w:rsid w:val="00716A6A"/>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AD4"/>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166"/>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842"/>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1C79"/>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33B"/>
    <w:rsid w:val="00864436"/>
    <w:rsid w:val="00864C20"/>
    <w:rsid w:val="00864DEA"/>
    <w:rsid w:val="00864E3E"/>
    <w:rsid w:val="00864E6D"/>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652"/>
    <w:rsid w:val="00897A49"/>
    <w:rsid w:val="00897ADB"/>
    <w:rsid w:val="008A033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33"/>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31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4DD"/>
    <w:rsid w:val="00922604"/>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A7F52"/>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408"/>
    <w:rsid w:val="009D4634"/>
    <w:rsid w:val="009D4753"/>
    <w:rsid w:val="009D48F5"/>
    <w:rsid w:val="009D4DE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1C9"/>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43"/>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B12"/>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87BC4"/>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C6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180"/>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757"/>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665"/>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8A8"/>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6F7B"/>
    <w:rsid w:val="00CC7057"/>
    <w:rsid w:val="00CC7940"/>
    <w:rsid w:val="00CC7AF8"/>
    <w:rsid w:val="00CD01B9"/>
    <w:rsid w:val="00CD0411"/>
    <w:rsid w:val="00CD05A4"/>
    <w:rsid w:val="00CD0894"/>
    <w:rsid w:val="00CD0911"/>
    <w:rsid w:val="00CD0DF6"/>
    <w:rsid w:val="00CD10DD"/>
    <w:rsid w:val="00CD10F2"/>
    <w:rsid w:val="00CD159D"/>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90A"/>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424"/>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16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6E73"/>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EBE"/>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4C2"/>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035"/>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24E"/>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5F0"/>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026"/>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486"/>
    <w:rsid w:val="00ED56B2"/>
    <w:rsid w:val="00ED620B"/>
    <w:rsid w:val="00ED634D"/>
    <w:rsid w:val="00ED6CF1"/>
    <w:rsid w:val="00ED70FB"/>
    <w:rsid w:val="00ED7205"/>
    <w:rsid w:val="00ED752B"/>
    <w:rsid w:val="00ED753A"/>
    <w:rsid w:val="00ED7849"/>
    <w:rsid w:val="00ED7A16"/>
    <w:rsid w:val="00ED7B60"/>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2874"/>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79"/>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7DF"/>
    <w:rsid w:val="00FB3806"/>
    <w:rsid w:val="00FB3B3C"/>
    <w:rsid w:val="00FB3B6F"/>
    <w:rsid w:val="00FB3C79"/>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3FDB"/>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4F04"/>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6065301">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338890829">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348450">
      <w:bodyDiv w:val="1"/>
      <w:marLeft w:val="0"/>
      <w:marRight w:val="0"/>
      <w:marTop w:val="0"/>
      <w:marBottom w:val="0"/>
      <w:divBdr>
        <w:top w:val="none" w:sz="0" w:space="0" w:color="auto"/>
        <w:left w:val="none" w:sz="0" w:space="0" w:color="auto"/>
        <w:bottom w:val="none" w:sz="0" w:space="0" w:color="auto"/>
        <w:right w:val="none" w:sz="0" w:space="0" w:color="auto"/>
      </w:divBdr>
      <w:divsChild>
        <w:div w:id="2128809545">
          <w:marLeft w:val="0"/>
          <w:marRight w:val="0"/>
          <w:marTop w:val="0"/>
          <w:marBottom w:val="0"/>
          <w:divBdr>
            <w:top w:val="none" w:sz="0" w:space="0" w:color="auto"/>
            <w:left w:val="none" w:sz="0" w:space="0" w:color="auto"/>
            <w:bottom w:val="none" w:sz="0" w:space="0" w:color="auto"/>
            <w:right w:val="none" w:sz="0" w:space="0" w:color="auto"/>
          </w:divBdr>
          <w:divsChild>
            <w:div w:id="107817486">
              <w:marLeft w:val="0"/>
              <w:marRight w:val="0"/>
              <w:marTop w:val="0"/>
              <w:marBottom w:val="0"/>
              <w:divBdr>
                <w:top w:val="none" w:sz="0" w:space="0" w:color="auto"/>
                <w:left w:val="none" w:sz="0" w:space="0" w:color="auto"/>
                <w:bottom w:val="none" w:sz="0" w:space="0" w:color="auto"/>
                <w:right w:val="none" w:sz="0" w:space="0" w:color="auto"/>
              </w:divBdr>
              <w:divsChild>
                <w:div w:id="1152987797">
                  <w:marLeft w:val="0"/>
                  <w:marRight w:val="0"/>
                  <w:marTop w:val="0"/>
                  <w:marBottom w:val="0"/>
                  <w:divBdr>
                    <w:top w:val="none" w:sz="0" w:space="0" w:color="auto"/>
                    <w:left w:val="none" w:sz="0" w:space="0" w:color="auto"/>
                    <w:bottom w:val="none" w:sz="0" w:space="0" w:color="auto"/>
                    <w:right w:val="none" w:sz="0" w:space="0" w:color="auto"/>
                  </w:divBdr>
                  <w:divsChild>
                    <w:div w:id="1777092458">
                      <w:marLeft w:val="0"/>
                      <w:marRight w:val="0"/>
                      <w:marTop w:val="0"/>
                      <w:marBottom w:val="0"/>
                      <w:divBdr>
                        <w:top w:val="none" w:sz="0" w:space="0" w:color="auto"/>
                        <w:left w:val="none" w:sz="0" w:space="0" w:color="auto"/>
                        <w:bottom w:val="none" w:sz="0" w:space="0" w:color="auto"/>
                        <w:right w:val="none" w:sz="0" w:space="0" w:color="auto"/>
                      </w:divBdr>
                      <w:divsChild>
                        <w:div w:id="1177423959">
                          <w:marLeft w:val="0"/>
                          <w:marRight w:val="0"/>
                          <w:marTop w:val="0"/>
                          <w:marBottom w:val="0"/>
                          <w:divBdr>
                            <w:top w:val="none" w:sz="0" w:space="0" w:color="auto"/>
                            <w:left w:val="none" w:sz="0" w:space="0" w:color="auto"/>
                            <w:bottom w:val="none" w:sz="0" w:space="0" w:color="auto"/>
                            <w:right w:val="none" w:sz="0" w:space="0" w:color="auto"/>
                          </w:divBdr>
                          <w:divsChild>
                            <w:div w:id="96635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4967658">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8409665">
      <w:bodyDiv w:val="1"/>
      <w:marLeft w:val="0"/>
      <w:marRight w:val="0"/>
      <w:marTop w:val="0"/>
      <w:marBottom w:val="0"/>
      <w:divBdr>
        <w:top w:val="none" w:sz="0" w:space="0" w:color="auto"/>
        <w:left w:val="none" w:sz="0" w:space="0" w:color="auto"/>
        <w:bottom w:val="none" w:sz="0" w:space="0" w:color="auto"/>
        <w:right w:val="none" w:sz="0" w:space="0" w:color="auto"/>
      </w:divBdr>
      <w:divsChild>
        <w:div w:id="1642077398">
          <w:marLeft w:val="0"/>
          <w:marRight w:val="0"/>
          <w:marTop w:val="0"/>
          <w:marBottom w:val="0"/>
          <w:divBdr>
            <w:top w:val="none" w:sz="0" w:space="0" w:color="auto"/>
            <w:left w:val="none" w:sz="0" w:space="0" w:color="auto"/>
            <w:bottom w:val="none" w:sz="0" w:space="0" w:color="auto"/>
            <w:right w:val="none" w:sz="0" w:space="0" w:color="auto"/>
          </w:divBdr>
          <w:divsChild>
            <w:div w:id="973951891">
              <w:marLeft w:val="0"/>
              <w:marRight w:val="0"/>
              <w:marTop w:val="0"/>
              <w:marBottom w:val="0"/>
              <w:divBdr>
                <w:top w:val="none" w:sz="0" w:space="0" w:color="auto"/>
                <w:left w:val="none" w:sz="0" w:space="0" w:color="auto"/>
                <w:bottom w:val="none" w:sz="0" w:space="0" w:color="auto"/>
                <w:right w:val="none" w:sz="0" w:space="0" w:color="auto"/>
              </w:divBdr>
              <w:divsChild>
                <w:div w:id="579288990">
                  <w:marLeft w:val="0"/>
                  <w:marRight w:val="0"/>
                  <w:marTop w:val="0"/>
                  <w:marBottom w:val="0"/>
                  <w:divBdr>
                    <w:top w:val="none" w:sz="0" w:space="0" w:color="auto"/>
                    <w:left w:val="none" w:sz="0" w:space="0" w:color="auto"/>
                    <w:bottom w:val="none" w:sz="0" w:space="0" w:color="auto"/>
                    <w:right w:val="none" w:sz="0" w:space="0" w:color="auto"/>
                  </w:divBdr>
                  <w:divsChild>
                    <w:div w:id="1081290219">
                      <w:marLeft w:val="0"/>
                      <w:marRight w:val="0"/>
                      <w:marTop w:val="0"/>
                      <w:marBottom w:val="0"/>
                      <w:divBdr>
                        <w:top w:val="none" w:sz="0" w:space="0" w:color="auto"/>
                        <w:left w:val="none" w:sz="0" w:space="0" w:color="auto"/>
                        <w:bottom w:val="none" w:sz="0" w:space="0" w:color="auto"/>
                        <w:right w:val="none" w:sz="0" w:space="0" w:color="auto"/>
                      </w:divBdr>
                      <w:divsChild>
                        <w:div w:id="1534420140">
                          <w:marLeft w:val="0"/>
                          <w:marRight w:val="0"/>
                          <w:marTop w:val="0"/>
                          <w:marBottom w:val="0"/>
                          <w:divBdr>
                            <w:top w:val="none" w:sz="0" w:space="0" w:color="auto"/>
                            <w:left w:val="none" w:sz="0" w:space="0" w:color="auto"/>
                            <w:bottom w:val="none" w:sz="0" w:space="0" w:color="auto"/>
                            <w:right w:val="none" w:sz="0" w:space="0" w:color="auto"/>
                          </w:divBdr>
                          <w:divsChild>
                            <w:div w:id="11688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2699540">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12827270">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6791236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678</Words>
  <Characters>3869</Characters>
  <Application>Microsoft Office Word</Application>
  <DocSecurity>0</DocSecurity>
  <Lines>32</Lines>
  <Paragraphs>9</Paragraphs>
  <ScaleCrop>false</ScaleCrop>
  <Company/>
  <LinksUpToDate>false</LinksUpToDate>
  <CharactersWithSpaces>4538</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22</cp:revision>
  <cp:lastPrinted>2022-09-30T11:23:00Z</cp:lastPrinted>
  <dcterms:created xsi:type="dcterms:W3CDTF">2025-04-24T11:44:00Z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